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Jobber competitor snapshot</w:t>
      </w:r>
    </w:p>
    <w:p>
      <w:pPr>
        <w:pStyle w:val="Subtitle"/>
      </w:pPr>
      <w:r>
        <w:t>A worked example for a field service software seller</w:t>
      </w:r>
    </w:p>
    <w:p>
      <w:r>
        <w:t>Decision: qualify the buyer’s accounting workflow before arguing feature superiority. Jobber has documented capabilities that deserve a fair comparison; the useful question is whether the required workflow succeeds in the buyer’s actual configuration.</w:t>
      </w:r>
    </w:p>
    <w:p>
      <w:pPr>
        <w:pStyle w:val="Heading2"/>
      </w:pPr>
      <w:r>
        <w:t>What is real and what is illustrative</w:t>
      </w:r>
    </w:p>
    <w:p>
      <w:r>
        <w:t>Jobber is a real vendor. Statements marked [S1] through [S6] are paraphrased from its public pages. RelayFSM, the seller, and the buyer situation below are fictional. This is an independent demonstration, not a client engagement, endorsement, product test or sales result.</w:t>
      </w:r>
    </w:p>
    <w:p>
      <w:pPr>
        <w:pStyle w:val="Heading2"/>
      </w:pPr>
      <w:r>
        <w:t>Illustrative buyer context</w:t>
      </w:r>
    </w:p>
    <w:p>
      <w:r>
        <w:t>Persona: an operations manager at a five-user US home service business using QuickBooks Online. The buyer wants less duplicate entry, clear payment status, job profitability and a simple customer experience. RelayFSM’s capabilities and prices are intentionally unspecified: seller advantages require proof.</w:t>
      </w:r>
    </w:p>
    <w:p>
      <w:pPr>
        <w:pStyle w:val="Heading2"/>
      </w:pPr>
      <w:r>
        <w:t>Competitor positioning</w:t>
      </w:r>
    </w:p>
    <w:p>
      <w:r>
        <w:t>Jobber presents a platform spanning quotes, scheduling, invoicing and payments for service businesses. Treat its breadth as a credible reason a buyer would shortlist it. [S1]</w:t>
      </w:r>
    </w:p>
    <w:p>
      <w:pPr>
        <w:pStyle w:val="Heading2"/>
      </w:pPr>
      <w:r>
        <w:t>Public pricing and plan fit</w:t>
      </w:r>
    </w:p>
    <w:p>
      <w:r>
        <w:t>Jobber’s page lists Core, Connect, Grow and Plus. Displayed starting prices are $29, $99, $149 and $399 per month under annual billing. These starting figures do not represent one matched five-user quote. Team size, billing commitment, taxes and add-ons affect the comparison. [S2]</w:t>
      </w:r>
    </w:p>
    <w:p>
      <w:r>
        <w:t>For this scenario, request a five-user quote on the plan that includes the required integration and costing features. Compare annual cash cost and renewal terms, not the lowest advertised starting price. This is a recommended buying method, not a verified quote.</w:t>
      </w:r>
    </w:p>
    <w:p>
      <w:pPr>
        <w:pStyle w:val="Heading2"/>
      </w:pPr>
      <w:r>
        <w:t>Research boundary</w:t>
      </w:r>
    </w:p>
    <w:p>
      <w:r>
        <w:t>Public documentation only. No account login, trial, hands-on test or private buyer data was used. Availability and commercial terms need confirmation for the buyer’s country, account and selected plan.</w:t>
      </w:r>
    </w:p>
    <w:p>
      <w:r>
        <w:br w:type="page"/>
      </w:r>
    </w:p>
    <w:p>
      <w:pPr>
        <w:pStyle w:val="Heading1"/>
      </w:pPr>
      <w:r>
        <w:t>Buyer criteria and open questions</w:t>
      </w:r>
    </w:p>
    <w:p>
      <w:r>
        <w:t>Five criteria keep the comparison tied to the buyer’s decision. Documented behavior is evidence of what the vendor describes; it is not proof of performance in this fictional buyer’s account.</w:t>
      </w:r>
    </w:p>
    <w:tbl>
      <w:tblPr>
        <w:tblW w:type="auto" w:w="0"/>
        <w:jc w:val="center"/>
        <w:tblLayout w:type="fixed"/>
        <w:tblLook w:firstColumn="1" w:firstRow="1" w:lastColumn="0" w:lastRow="0" w:noHBand="0" w:noVBand="1" w:val="04A0"/>
      </w:tblPr>
      <w:tblGrid>
        <w:gridCol w:w="3408"/>
        <w:gridCol w:w="3408"/>
        <w:gridCol w:w="3408"/>
      </w:tblGrid>
      <w:tr>
        <w:trPr>
          <w:cantSplit/>
        </w:trPr>
        <w:tc>
          <w:tcPr>
            <w:tcW w:type="dxa" w:w="1944"/>
            <w:vAlign w:val="center"/>
            <w:tcBorders>
              <w:top w:val="single" w:sz="4" w:color="D9D9D9"/>
              <w:left w:val="single" w:sz="4" w:color="D9D9D9"/>
              <w:bottom w:val="single" w:sz="4" w:color="D9D9D9"/>
              <w:right w:val="single" w:sz="4" w:color="D9D9D9"/>
            </w:tcBorders>
            <w:shd w:fill="183348"/>
          </w:tcPr>
          <w:p>
            <w:pPr>
              <w:spacing w:before="100" w:after="100"/>
            </w:pPr>
            <w:r>
              <w:rPr>
                <w:b/>
                <w:color w:val="FFFFFF"/>
                <w:sz w:val="21"/>
              </w:rPr>
              <w:t>Criterion</w:t>
            </w:r>
          </w:p>
        </w:tc>
        <w:tc>
          <w:tcPr>
            <w:tcW w:type="dxa" w:w="3816"/>
            <w:vAlign w:val="center"/>
            <w:tcBorders>
              <w:top w:val="single" w:sz="4" w:color="D9D9D9"/>
              <w:left w:val="single" w:sz="4" w:color="D9D9D9"/>
              <w:bottom w:val="single" w:sz="4" w:color="D9D9D9"/>
              <w:right w:val="single" w:sz="4" w:color="D9D9D9"/>
            </w:tcBorders>
            <w:shd w:fill="183348"/>
          </w:tcPr>
          <w:p>
            <w:pPr>
              <w:spacing w:before="100" w:after="100"/>
            </w:pPr>
            <w:r>
              <w:rPr>
                <w:b/>
                <w:color w:val="FFFFFF"/>
                <w:sz w:val="21"/>
              </w:rPr>
              <w:t>Documented evidence</w:t>
            </w:r>
          </w:p>
        </w:tc>
        <w:tc>
          <w:tcPr>
            <w:tcW w:type="dxa" w:w="4464"/>
            <w:vAlign w:val="center"/>
            <w:tcBorders>
              <w:top w:val="single" w:sz="4" w:color="D9D9D9"/>
              <w:left w:val="single" w:sz="4" w:color="D9D9D9"/>
              <w:bottom w:val="single" w:sz="4" w:color="D9D9D9"/>
              <w:right w:val="single" w:sz="4" w:color="D9D9D9"/>
            </w:tcBorders>
            <w:shd w:fill="183348"/>
          </w:tcPr>
          <w:p>
            <w:pPr>
              <w:spacing w:before="100" w:after="100"/>
            </w:pPr>
            <w:r>
              <w:rPr>
                <w:b/>
                <w:color w:val="FFFFFF"/>
                <w:sz w:val="21"/>
              </w:rPr>
              <w:t>Buyer verification</w:t>
            </w:r>
          </w:p>
        </w:tc>
      </w:tr>
      <w:tr>
        <w:trPr>
          <w:cantSplit/>
        </w:trPr>
        <w:tc>
          <w:tcPr>
            <w:tcW w:type="dxa" w:w="1944"/>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Accounting sync</w:t>
            </w:r>
          </w:p>
        </w:tc>
        <w:tc>
          <w:tcPr>
            <w:tcW w:type="dxa" w:w="3816"/>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The newer QuickBooks integration describes automatic one-way sync from Jobber to QuickBooks. [S3]</w:t>
            </w:r>
          </w:p>
        </w:tc>
        <w:tc>
          <w:tcPr>
            <w:tcW w:type="dxa" w:w="4464"/>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Identify integration version and demonstrate the agreed payment workflow.</w:t>
            </w:r>
          </w:p>
        </w:tc>
      </w:tr>
      <w:tr>
        <w:trPr>
          <w:cantSplit/>
        </w:trPr>
        <w:tc>
          <w:tcPr>
            <w:tcW w:type="dxa" w:w="1944"/>
            <w:vAlign w:val="center"/>
            <w:tcBorders>
              <w:top w:val="single" w:sz="4" w:color="D9D9D9"/>
              <w:left w:val="single" w:sz="4" w:color="D9D9D9"/>
              <w:bottom w:val="single" w:sz="4" w:color="D9D9D9"/>
              <w:right w:val="single" w:sz="4" w:color="D9D9D9"/>
            </w:tcBorders>
            <w:shd w:fill="FFFFFF"/>
          </w:tcPr>
          <w:p>
            <w:pPr>
              <w:spacing w:before="100" w:after="100"/>
            </w:pPr>
            <w:r>
              <w:rPr>
                <w:b w:val="0"/>
                <w:color w:val="000000"/>
                <w:sz w:val="21"/>
              </w:rPr>
              <w:t>Job profitability</w:t>
            </w:r>
          </w:p>
        </w:tc>
        <w:tc>
          <w:tcPr>
            <w:tcW w:type="dxa" w:w="3816"/>
            <w:vAlign w:val="center"/>
            <w:tcBorders>
              <w:top w:val="single" w:sz="4" w:color="D9D9D9"/>
              <w:left w:val="single" w:sz="4" w:color="D9D9D9"/>
              <w:bottom w:val="single" w:sz="4" w:color="D9D9D9"/>
              <w:right w:val="single" w:sz="4" w:color="D9D9D9"/>
            </w:tcBorders>
            <w:shd w:fill="FFFFFF"/>
          </w:tcPr>
          <w:p>
            <w:pPr>
              <w:spacing w:before="100" w:after="100"/>
            </w:pPr>
            <w:r>
              <w:rPr>
                <w:b w:val="0"/>
                <w:color w:val="000000"/>
                <w:sz w:val="21"/>
              </w:rPr>
              <w:t>Jobber describes costing using tracked labor, material costs and expenses. [S4]</w:t>
            </w:r>
          </w:p>
        </w:tc>
        <w:tc>
          <w:tcPr>
            <w:tcW w:type="dxa" w:w="4464"/>
            <w:vAlign w:val="center"/>
            <w:tcBorders>
              <w:top w:val="single" w:sz="4" w:color="D9D9D9"/>
              <w:left w:val="single" w:sz="4" w:color="D9D9D9"/>
              <w:bottom w:val="single" w:sz="4" w:color="D9D9D9"/>
              <w:right w:val="single" w:sz="4" w:color="D9D9D9"/>
            </w:tcBorders>
            <w:shd w:fill="FFFFFF"/>
          </w:tcPr>
          <w:p>
            <w:pPr>
              <w:spacing w:before="100" w:after="100"/>
            </w:pPr>
            <w:r>
              <w:rPr>
                <w:b w:val="0"/>
                <w:color w:val="000000"/>
                <w:sz w:val="21"/>
              </w:rPr>
              <w:t>Run one job with a late supplier expense and inspect margin changes.</w:t>
            </w:r>
          </w:p>
        </w:tc>
      </w:tr>
      <w:tr>
        <w:trPr>
          <w:cantSplit/>
        </w:trPr>
        <w:tc>
          <w:tcPr>
            <w:tcW w:type="dxa" w:w="1944"/>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Customer self service</w:t>
            </w:r>
          </w:p>
        </w:tc>
        <w:tc>
          <w:tcPr>
            <w:tcW w:type="dxa" w:w="3816"/>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Client hub supports quote approval, appointment details and invoice payment. [S5]</w:t>
            </w:r>
          </w:p>
        </w:tc>
        <w:tc>
          <w:tcPr>
            <w:tcW w:type="dxa" w:w="4464"/>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Have a customer complete the steps on a phone.</w:t>
            </w:r>
          </w:p>
        </w:tc>
      </w:tr>
      <w:tr>
        <w:trPr>
          <w:cantSplit/>
        </w:trPr>
        <w:tc>
          <w:tcPr>
            <w:tcW w:type="dxa" w:w="1944"/>
            <w:vAlign w:val="center"/>
            <w:tcBorders>
              <w:top w:val="single" w:sz="4" w:color="D9D9D9"/>
              <w:left w:val="single" w:sz="4" w:color="D9D9D9"/>
              <w:bottom w:val="single" w:sz="4" w:color="D9D9D9"/>
              <w:right w:val="single" w:sz="4" w:color="D9D9D9"/>
            </w:tcBorders>
            <w:shd w:fill="FFFFFF"/>
          </w:tcPr>
          <w:p>
            <w:pPr>
              <w:spacing w:before="100" w:after="100"/>
            </w:pPr>
            <w:r>
              <w:rPr>
                <w:b w:val="0"/>
                <w:color w:val="000000"/>
                <w:sz w:val="21"/>
              </w:rPr>
              <w:t>Invoice follow-up</w:t>
            </w:r>
          </w:p>
        </w:tc>
        <w:tc>
          <w:tcPr>
            <w:tcW w:type="dxa" w:w="3816"/>
            <w:vAlign w:val="center"/>
            <w:tcBorders>
              <w:top w:val="single" w:sz="4" w:color="D9D9D9"/>
              <w:left w:val="single" w:sz="4" w:color="D9D9D9"/>
              <w:bottom w:val="single" w:sz="4" w:color="D9D9D9"/>
              <w:right w:val="single" w:sz="4" w:color="D9D9D9"/>
            </w:tcBorders>
            <w:shd w:fill="FFFFFF"/>
          </w:tcPr>
          <w:p>
            <w:pPr>
              <w:spacing w:before="100" w:after="100"/>
            </w:pPr>
            <w:r>
              <w:rPr>
                <w:b w:val="0"/>
                <w:color w:val="000000"/>
                <w:sz w:val="21"/>
              </w:rPr>
              <w:t>Jobber describes automated invoice reminders by email or text. [S6]</w:t>
            </w:r>
          </w:p>
        </w:tc>
        <w:tc>
          <w:tcPr>
            <w:tcW w:type="dxa" w:w="4464"/>
            <w:vAlign w:val="center"/>
            <w:tcBorders>
              <w:top w:val="single" w:sz="4" w:color="D9D9D9"/>
              <w:left w:val="single" w:sz="4" w:color="D9D9D9"/>
              <w:bottom w:val="single" w:sz="4" w:color="D9D9D9"/>
              <w:right w:val="single" w:sz="4" w:color="D9D9D9"/>
            </w:tcBorders>
            <w:shd w:fill="FFFFFF"/>
          </w:tcPr>
          <w:p>
            <w:pPr>
              <w:spacing w:before="100" w:after="100"/>
            </w:pPr>
            <w:r>
              <w:rPr>
                <w:b w:val="0"/>
                <w:color w:val="000000"/>
                <w:sz w:val="21"/>
              </w:rPr>
              <w:t>Show trigger, timing and behavior after payment.</w:t>
            </w:r>
          </w:p>
        </w:tc>
      </w:tr>
      <w:tr>
        <w:trPr>
          <w:cantSplit/>
        </w:trPr>
        <w:tc>
          <w:tcPr>
            <w:tcW w:type="dxa" w:w="1944"/>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Commercial fit</w:t>
            </w:r>
          </w:p>
        </w:tc>
        <w:tc>
          <w:tcPr>
            <w:tcW w:type="dxa" w:w="3816"/>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Pricing varies with plan, team size and billing choice. [S2]</w:t>
            </w:r>
          </w:p>
        </w:tc>
        <w:tc>
          <w:tcPr>
            <w:tcW w:type="dxa" w:w="4464"/>
            <w:vAlign w:val="center"/>
            <w:tcBorders>
              <w:top w:val="single" w:sz="4" w:color="D9D9D9"/>
              <w:left w:val="single" w:sz="4" w:color="D9D9D9"/>
              <w:bottom w:val="single" w:sz="4" w:color="D9D9D9"/>
              <w:right w:val="single" w:sz="4" w:color="D9D9D9"/>
            </w:tcBorders>
            <w:shd w:fill="F1F4F6"/>
          </w:tcPr>
          <w:p>
            <w:pPr>
              <w:spacing w:before="100" w:after="100"/>
            </w:pPr>
            <w:r>
              <w:rPr>
                <w:b w:val="0"/>
                <w:color w:val="000000"/>
                <w:sz w:val="21"/>
              </w:rPr>
              <w:t>Obtain the five-user configuration and renewal quote.</w:t>
            </w:r>
          </w:p>
        </w:tc>
      </w:tr>
    </w:tbl>
    <w:p>
      <w:pPr>
        <w:pStyle w:val="Heading2"/>
      </w:pPr>
      <w:r>
        <w:t>The accounting question worth testing</w:t>
      </w:r>
    </w:p>
    <w:p>
      <w:r>
        <w:t>In the newer integration documentation, invoice Paid status does not sync back from QuickBooks to Jobber. That matters only if the buyer records payments in QuickBooks and expects Jobber to update. Do not generalize this to every integration or every account. [S3]</w:t>
      </w:r>
    </w:p>
    <w:p>
      <w:r>
        <w:t>The newer article flags a rollout to select accounts. Confirm which documentation governs the buyer’s account before comparing behavior. [S3]</w:t>
      </w:r>
    </w:p>
    <w:p>
      <w:pPr>
        <w:pStyle w:val="Heading2"/>
      </w:pPr>
      <w:r>
        <w:t>Unknowns that affect the decision</w:t>
      </w:r>
    </w:p>
    <w:p>
      <w:r>
        <w:t>The buyer’s integration version, payment-entry process, enabled sync settings, error-handling ownership, exact plan and renewal quote are unknown. RelayFSM’s ability to improve any of these is also unknown. These are intake and demo questions, not competitor deficiencies.</w:t>
      </w:r>
    </w:p>
    <w:p>
      <w:r>
        <w:br w:type="page"/>
      </w:r>
    </w:p>
    <w:p>
      <w:pPr>
        <w:pStyle w:val="Heading1"/>
      </w:pPr>
      <w:r>
        <w:t>Jobber sales battlecard</w:t>
      </w:r>
    </w:p>
    <w:p>
      <w:r>
        <w:t>Use during an illustrative sales conversation. Evidence appears in the snapshot and source register. Recommended responses below are sales guidance, not observed customer reactions.</w:t>
      </w:r>
    </w:p>
    <w:p>
      <w:pPr>
        <w:pStyle w:val="Heading2"/>
      </w:pPr>
      <w:r>
        <w:t>Opening position</w:t>
      </w:r>
    </w:p>
    <w:p>
      <w:r>
        <w:t>“Jobber has a broad service-business workflow. Let’s identify the accounting handoff that matters to your team and have both products demonstrate it.”</w:t>
      </w:r>
    </w:p>
    <w:p>
      <w:pPr>
        <w:pStyle w:val="Heading2"/>
      </w:pPr>
      <w:r>
        <w:t>Respect the competitor’s case</w:t>
      </w:r>
    </w:p>
    <w:p>
      <w:r>
        <w:t>A buyer may value one product for field operations, customer communication and billing. A generic feature checklist will not establish why switching is worthwhile. [S1, S5, S6]</w:t>
      </w:r>
    </w:p>
    <w:p>
      <w:pPr>
        <w:pStyle w:val="Heading2"/>
      </w:pPr>
      <w:r>
        <w:t>Ask before positioning</w:t>
      </w:r>
    </w:p>
    <w:p>
      <w:r>
        <w:t>Where are payments entered today? Which system must show the current status? Who investigates a mismatch? Which integration is connected? What does the buyer consider a successful accounting handoff?</w:t>
      </w:r>
    </w:p>
    <w:p>
      <w:pPr>
        <w:pStyle w:val="Heading2"/>
      </w:pPr>
      <w:r>
        <w:t>The decisive proof exercise</w:t>
      </w:r>
    </w:p>
    <w:p>
      <w:r>
        <w:t>Use dummy data in vendor-provided demo environments. Create one invoice, record payment in the buyer’s intended source system, and inspect both applications. Capture status, manual steps, sync settings and exceptions. Run the same sequence in RelayFSM. The buyer’s operations and accounting owners should agree the expected result before the test.</w:t>
      </w:r>
    </w:p>
    <w:p>
      <w:pPr>
        <w:pStyle w:val="Heading2"/>
      </w:pPr>
      <w:r>
        <w:t>Claims to use and claims to avoid</w:t>
      </w:r>
    </w:p>
    <w:p>
      <w:r>
        <w:t>Use: “The newer documentation describes one-way sync and no return of Paid status from QuickBooks. We should test whether that affects your workflow.” [S3]</w:t>
      </w:r>
    </w:p>
    <w:p>
      <w:r>
        <w:t>Avoid: “Jobber has no QuickBooks integration,” “Jobber cannot track job profit,” “RelayFSM is cheaper,” or “we will win this deal.” Available evidence does not justify those statements. [S2, S3, S4]</w:t>
      </w:r>
    </w:p>
    <w:p>
      <w:pPr>
        <w:pStyle w:val="Heading2"/>
      </w:pPr>
      <w:r>
        <w:t>Qualify out when appropriate</w:t>
      </w:r>
    </w:p>
    <w:p>
      <w:r>
        <w:t>If the demonstrated Jobber configuration meets the buyer’s requirements and RelayFSM cannot show a meaningful improvement, acknowledge the fit. If the buyer has no accounting handoff problem, choose another agreed criterion or stop pitching this angle.</w:t>
      </w:r>
    </w:p>
    <w:p>
      <w:pPr>
        <w:pStyle w:val="Heading2"/>
      </w:pPr>
      <w:r>
        <w:t>Next action</w:t>
      </w:r>
    </w:p>
    <w:p>
      <w:r>
        <w:t>Ask the buyer to nominate one representative workflow and its success criteria. Do not promise an advantage until the comparative demonstration supports it.</w:t>
      </w:r>
    </w:p>
    <w:p>
      <w:r>
        <w:br w:type="page"/>
      </w:r>
    </w:p>
    <w:p>
      <w:pPr>
        <w:pStyle w:val="Heading1"/>
      </w:pPr>
      <w:r>
        <w:t>Five objection responses</w:t>
      </w:r>
    </w:p>
    <w:p>
      <w:r>
        <w:t>These are example responses for the fictional persona. They are not testimonials or evidence of a completed sale.</w:t>
      </w:r>
    </w:p>
    <w:p>
      <w:pPr>
        <w:pStyle w:val="Heading2"/>
      </w:pPr>
      <w:r>
        <w:t>We already use Jobber</w:t>
      </w:r>
    </w:p>
    <w:p>
      <w:r>
        <w:t>“If it meets your requirements, staying may be sensible. Which specific workflow is causing enough trouble to justify evaluating an alternative?”</w:t>
      </w:r>
    </w:p>
    <w:p>
      <w:pPr>
        <w:pStyle w:val="Heading2"/>
      </w:pPr>
      <w:r>
        <w:t>Jobber integrates with QuickBooks</w:t>
      </w:r>
    </w:p>
    <w:p>
      <w:r>
        <w:t>“Yes. The documentation describes the integration. Let’s confirm your version and run your actual payment-entry sequence rather than treating integration as a yes or no box.” [S3]</w:t>
      </w:r>
    </w:p>
    <w:p>
      <w:pPr>
        <w:pStyle w:val="Heading2"/>
      </w:pPr>
      <w:r>
        <w:t>We need to know job profit</w:t>
      </w:r>
    </w:p>
    <w:p>
      <w:r>
        <w:t>“Jobber documents job costing. Let’s use the same labor, materials and late expense in each demonstration and compare the result and effort.” [S4]</w:t>
      </w:r>
    </w:p>
    <w:p>
      <w:pPr>
        <w:pStyle w:val="Heading2"/>
      </w:pPr>
      <w:r>
        <w:t>The starting price looks lower</w:t>
      </w:r>
    </w:p>
    <w:p>
      <w:r>
        <w:t>“Let’s compare the configured five-user quote, billing commitment, add-ons and renewal terms. A starting figure alone does not tell us which option costs less.” [S2]</w:t>
      </w:r>
    </w:p>
    <w:p>
      <w:pPr>
        <w:pStyle w:val="Heading2"/>
      </w:pPr>
      <w:r>
        <w:t>Switching will disrupt the team</w:t>
      </w:r>
    </w:p>
    <w:p>
      <w:r>
        <w:t>“That is a real evaluation question. Before proposing a switch, agree the data to move, ownership, validation and rollback plan. We have not verified either vendor’s migration effort.”</w:t>
      </w:r>
    </w:p>
    <w:p>
      <w:pPr>
        <w:pStyle w:val="Heading2"/>
      </w:pPr>
      <w:r>
        <w:t>How this sample maps to the offer</w:t>
      </w:r>
    </w:p>
    <w:p>
      <w:r>
        <w:t>The two-page snapshot and one-page battlecard illustrate the Standard package. The responses and source register support that work. A Premium engagement adds a brief for a real authorized opportunity, discovery questions and a proof plan. This sample does not establish any actual deal outcome.</w:t>
      </w:r>
    </w:p>
    <w:p>
      <w:pPr>
        <w:pStyle w:val="Heading2"/>
      </w:pPr>
      <w:r>
        <w:t>What a tailored engagement needs</w:t>
      </w:r>
    </w:p>
    <w:p>
      <w:r>
        <w:t>Your product URL, one named competitor, one buyer persona, up to five decision criteria, current positioning and authorized source material. A live deal adds stage, objections and the next decision. Share redacted information and identify data-use restrictions before work starts.</w:t>
      </w:r>
    </w:p>
    <w:p>
      <w:r>
        <w:br w:type="page"/>
      </w:r>
    </w:p>
    <w:p>
      <w:pPr>
        <w:pStyle w:val="Heading1"/>
      </w:pPr>
      <w:r>
        <w:t>Source register and research method</w:t>
      </w:r>
    </w:p>
    <w:p>
      <w:r>
        <w:t>Checked October 1, 2026. Sources below are vendor-authored pages; they support descriptions of documented capabilities, not independent performance conclusions. Pricing and documentation may change. No direct vendor text or screenshots are reproduced.</w:t>
      </w:r>
    </w:p>
    <w:p>
      <w:pPr>
        <w:pStyle w:val="Heading2"/>
      </w:pPr>
      <w:r>
        <w:t>S1 Jobber homepage</w:t>
      </w:r>
    </w:p>
    <w:p>
      <w:hyperlink r:id="rId11">
        <w:r>
          <w:t>https://www.getjobber.com/</w:t>
        </w:r>
      </w:hyperlink>
    </w:p>
    <w:p>
      <w:r>
        <w:t>Supports the description of the vendor’s service-business platform positioning.</w:t>
      </w:r>
    </w:p>
    <w:p>
      <w:pPr>
        <w:pStyle w:val="Heading2"/>
      </w:pPr>
      <w:r>
        <w:t>S2 Jobber pricing</w:t>
      </w:r>
    </w:p>
    <w:p>
      <w:hyperlink r:id="rId12">
        <w:r>
          <w:t>https://www.getjobber.com/pricing/</w:t>
        </w:r>
      </w:hyperlink>
    </w:p>
    <w:p>
      <w:r>
        <w:t>Supports plan names, starting annual-billing prices and configuration questions. Confirm the matched quote before using numbers in a sale.</w:t>
      </w:r>
    </w:p>
    <w:p>
      <w:pPr>
        <w:pStyle w:val="Heading2"/>
      </w:pPr>
      <w:r>
        <w:t>S3 How Items Sync Between Jobber and QuickBooks Online NEW QuickBooks Integration</w:t>
      </w:r>
    </w:p>
    <w:p>
      <w:hyperlink r:id="rId13">
        <w:r>
          <w:t>https://help.getjobber.com/en/articles/how-items-sync-between-jobber-and-quickbooks-online-new-quickbooks-integration/</w:t>
        </w:r>
      </w:hyperlink>
    </w:p>
    <w:p>
      <w:r>
        <w:t>Supports one-way sync, automatic updates and the Paid-status restriction. Applicability is account-specific.</w:t>
      </w:r>
    </w:p>
    <w:p>
      <w:pPr>
        <w:pStyle w:val="Heading2"/>
      </w:pPr>
      <w:r>
        <w:t>S4 Job costing software</w:t>
      </w:r>
    </w:p>
    <w:p>
      <w:hyperlink r:id="rId14">
        <w:r>
          <w:t>https://www.getjobber.com/features/job-costing-software/</w:t>
        </w:r>
      </w:hyperlink>
    </w:p>
    <w:p>
      <w:r>
        <w:t>Supports documented labor, material and expense costing.</w:t>
      </w:r>
    </w:p>
    <w:p>
      <w:pPr>
        <w:pStyle w:val="Heading2"/>
      </w:pPr>
      <w:r>
        <w:t>S5 Client hub</w:t>
      </w:r>
    </w:p>
    <w:p>
      <w:hyperlink r:id="rId15">
        <w:r>
          <w:t>https://www.getjobber.com/features/client-hub/</w:t>
        </w:r>
      </w:hyperlink>
    </w:p>
    <w:p>
      <w:r>
        <w:t>Supports customer quote approval, appointment details and invoice payment.</w:t>
      </w:r>
    </w:p>
    <w:p>
      <w:pPr>
        <w:pStyle w:val="Heading2"/>
      </w:pPr>
      <w:r>
        <w:t>S6 Field service invoicing software</w:t>
      </w:r>
    </w:p>
    <w:p>
      <w:hyperlink r:id="rId16">
        <w:r>
          <w:t>https://www.getjobber.com/features/field-service-invoicing-software/</w:t>
        </w:r>
      </w:hyperlink>
    </w:p>
    <w:p>
      <w:r>
        <w:t>Supports automated invoice follow-ups by email or text.</w:t>
      </w:r>
    </w:p>
    <w:p>
      <w:pPr>
        <w:pStyle w:val="Heading2"/>
      </w:pPr>
      <w:r>
        <w:t>Evidence and review standard</w:t>
      </w:r>
    </w:p>
    <w:p>
      <w:r>
        <w:t>Facts are cited. Scenario inputs are labeled fictional. Questions and responses are recommendations. Unknowns remain explicit. AI assisted research organization and drafting; material claims were checked against the cited public pages. No unsupported seller advantage is presented as fact.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Illustrative scenario | Research checked October 1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CASE &amp; CONTRAST  /  PUBLIC RESEARCH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etjobber.com/" TargetMode="External"/><Relationship Id="rId12" Type="http://schemas.openxmlformats.org/officeDocument/2006/relationships/hyperlink" Target="https://www.getjobber.com/pricing/" TargetMode="External"/><Relationship Id="rId13" Type="http://schemas.openxmlformats.org/officeDocument/2006/relationships/hyperlink" Target="https://help.getjobber.com/en/articles/how-items-sync-between-jobber-and-quickbooks-online-new-quickbooks-integration/" TargetMode="External"/><Relationship Id="rId14" Type="http://schemas.openxmlformats.org/officeDocument/2006/relationships/hyperlink" Target="https://www.getjobber.com/features/job-costing-software/" TargetMode="External"/><Relationship Id="rId15" Type="http://schemas.openxmlformats.org/officeDocument/2006/relationships/hyperlink" Target="https://www.getjobber.com/features/client-hub/" TargetMode="External"/><Relationship Id="rId16" Type="http://schemas.openxmlformats.org/officeDocument/2006/relationships/hyperlink" Target="https://www.getjobber.com/features/field-service-invoicing-softw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Jobber competitor snapshot and sales battlecard sample</dc:title>
  <dc:subject>Independent public research with a fictional seller scenario</dc:subject>
  <dc:creator>Case &amp; Contrast</dc:creator>
  <cp:keywords/>
  <dc:description>generated by python-docx</dc:description>
  <cp:lastModifiedBy/>
  <cp:revision>1</cp:revision>
  <dcterms:created xsi:type="dcterms:W3CDTF">2013-12-23T23:15:00Z</dcterms:created>
  <dcterms:modified xsi:type="dcterms:W3CDTF">2013-12-23T23:15:00Z</dcterms:modified>
  <cp:category/>
</cp:coreProperties>
</file>